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96C74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Cs w:val="28"/>
        </w:rPr>
      </w:pPr>
      <w:r w:rsidRPr="00460556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 wp14:anchorId="1FC36545" wp14:editId="2610D013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2A77D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/>
          <w:szCs w:val="28"/>
        </w:rPr>
      </w:pPr>
      <w:r w:rsidRPr="00460556">
        <w:rPr>
          <w:rFonts w:ascii="Times New Roman" w:hAnsi="Times New Roman"/>
          <w:b/>
          <w:szCs w:val="28"/>
        </w:rPr>
        <w:t>СОБРАНИЕ ДЕПУТАТОВ</w:t>
      </w:r>
    </w:p>
    <w:p w14:paraId="0020262E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/>
          <w:szCs w:val="28"/>
        </w:rPr>
      </w:pPr>
      <w:r w:rsidRPr="00460556">
        <w:rPr>
          <w:rFonts w:ascii="Times New Roman" w:hAnsi="Times New Roman"/>
          <w:b/>
          <w:szCs w:val="28"/>
        </w:rPr>
        <w:t>МР «ГЕРГЕБИЛЬСКИЙ РАЙОН»</w:t>
      </w:r>
    </w:p>
    <w:p w14:paraId="6C6555ED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 w:val="24"/>
        </w:rPr>
      </w:pPr>
      <w:r w:rsidRPr="00460556">
        <w:rPr>
          <w:rFonts w:ascii="Times New Roman" w:hAnsi="Times New Roman"/>
          <w:sz w:val="24"/>
        </w:rPr>
        <w:t>368250, Республика Дагестан ,</w:t>
      </w:r>
      <w:proofErr w:type="spellStart"/>
      <w:r w:rsidRPr="00460556">
        <w:rPr>
          <w:rFonts w:ascii="Times New Roman" w:hAnsi="Times New Roman"/>
          <w:sz w:val="24"/>
        </w:rPr>
        <w:t>Гергебильский</w:t>
      </w:r>
      <w:proofErr w:type="spellEnd"/>
      <w:r w:rsidRPr="00460556">
        <w:rPr>
          <w:rFonts w:ascii="Times New Roman" w:hAnsi="Times New Roman"/>
          <w:sz w:val="24"/>
        </w:rPr>
        <w:t xml:space="preserve"> </w:t>
      </w:r>
      <w:proofErr w:type="spellStart"/>
      <w:r w:rsidRPr="00460556">
        <w:rPr>
          <w:rFonts w:ascii="Times New Roman" w:hAnsi="Times New Roman"/>
          <w:sz w:val="24"/>
        </w:rPr>
        <w:t>район,с</w:t>
      </w:r>
      <w:proofErr w:type="gramStart"/>
      <w:r w:rsidRPr="00460556">
        <w:rPr>
          <w:rFonts w:ascii="Times New Roman" w:hAnsi="Times New Roman"/>
          <w:sz w:val="24"/>
        </w:rPr>
        <w:t>.Г</w:t>
      </w:r>
      <w:proofErr w:type="gramEnd"/>
      <w:r w:rsidRPr="00460556">
        <w:rPr>
          <w:rFonts w:ascii="Times New Roman" w:hAnsi="Times New Roman"/>
          <w:sz w:val="24"/>
        </w:rPr>
        <w:t>ергебиль</w:t>
      </w:r>
      <w:proofErr w:type="spellEnd"/>
      <w:r w:rsidRPr="00460556">
        <w:rPr>
          <w:rFonts w:ascii="Times New Roman" w:hAnsi="Times New Roman"/>
          <w:sz w:val="24"/>
        </w:rPr>
        <w:t>, ул. Наиба Идриса, 7</w:t>
      </w:r>
    </w:p>
    <w:p w14:paraId="069E4D2E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sz w:val="24"/>
        </w:rPr>
      </w:pPr>
      <w:r w:rsidRPr="00460556">
        <w:rPr>
          <w:rFonts w:ascii="Times New Roman" w:hAnsi="Times New Roman"/>
          <w:sz w:val="24"/>
        </w:rPr>
        <w:t xml:space="preserve">тел.(8255) 23 459,  </w:t>
      </w:r>
      <w:proofErr w:type="spellStart"/>
      <w:r w:rsidRPr="00460556">
        <w:rPr>
          <w:rFonts w:ascii="Times New Roman" w:hAnsi="Times New Roman"/>
          <w:sz w:val="24"/>
          <w:lang w:val="en-US"/>
        </w:rPr>
        <w:t>htt</w:t>
      </w:r>
      <w:proofErr w:type="spellEnd"/>
      <w:r w:rsidRPr="00460556">
        <w:rPr>
          <w:rFonts w:ascii="Times New Roman" w:hAnsi="Times New Roman"/>
          <w:sz w:val="24"/>
        </w:rPr>
        <w:t>://Гергебиль. РФ/</w:t>
      </w:r>
    </w:p>
    <w:p w14:paraId="0203849A" w14:textId="77777777" w:rsidR="00C5644C" w:rsidRPr="00460556" w:rsidRDefault="00C5644C" w:rsidP="00C5644C">
      <w:pPr>
        <w:pStyle w:val="a3"/>
        <w:jc w:val="center"/>
        <w:rPr>
          <w:rFonts w:ascii="Times New Roman" w:hAnsi="Times New Roman"/>
          <w:bCs/>
        </w:rPr>
      </w:pPr>
      <w:r w:rsidRPr="00460556"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71621CAB" w14:textId="2FD24C4E" w:rsidR="00C5644C" w:rsidRPr="00B019CE" w:rsidRDefault="00B019CE" w:rsidP="00C5644C">
      <w:pPr>
        <w:ind w:firstLine="360"/>
        <w:jc w:val="both"/>
        <w:rPr>
          <w:b/>
          <w:sz w:val="28"/>
          <w:szCs w:val="28"/>
        </w:rPr>
      </w:pPr>
      <w:r w:rsidRPr="00B019C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B019CE">
        <w:rPr>
          <w:b/>
          <w:sz w:val="28"/>
          <w:szCs w:val="28"/>
        </w:rPr>
        <w:t>17.06.2025г.</w:t>
      </w:r>
      <w:r>
        <w:rPr>
          <w:b/>
          <w:sz w:val="28"/>
          <w:szCs w:val="28"/>
        </w:rPr>
        <w:t xml:space="preserve">                                                                       № 01-31/20</w:t>
      </w:r>
    </w:p>
    <w:p w14:paraId="5BF2CF65" w14:textId="77777777" w:rsidR="00C5644C" w:rsidRPr="00DA1E5E" w:rsidRDefault="00C5644C" w:rsidP="00C5644C">
      <w:pPr>
        <w:ind w:firstLine="360"/>
        <w:jc w:val="both"/>
        <w:rPr>
          <w:b/>
          <w:sz w:val="28"/>
          <w:szCs w:val="28"/>
        </w:rPr>
      </w:pPr>
    </w:p>
    <w:p w14:paraId="4907B64A" w14:textId="6819D8A1" w:rsidR="008D23F2" w:rsidRPr="00DA1E5E" w:rsidRDefault="00B019CE" w:rsidP="008D23F2">
      <w:pPr>
        <w:spacing w:after="271" w:line="249" w:lineRule="auto"/>
        <w:ind w:left="289" w:right="509" w:hanging="10"/>
        <w:jc w:val="center"/>
        <w:rPr>
          <w:b/>
        </w:rPr>
      </w:pPr>
      <w:r w:rsidRPr="00DA1E5E">
        <w:rPr>
          <w:b/>
          <w:sz w:val="30"/>
        </w:rPr>
        <w:t xml:space="preserve">Решение </w:t>
      </w:r>
    </w:p>
    <w:p w14:paraId="47E9105F" w14:textId="77777777" w:rsidR="008D23F2" w:rsidRPr="00DA1E5E" w:rsidRDefault="008D23F2" w:rsidP="008D23F2">
      <w:pPr>
        <w:spacing w:after="204" w:line="249" w:lineRule="auto"/>
        <w:ind w:left="289" w:right="53" w:hanging="10"/>
        <w:jc w:val="center"/>
        <w:rPr>
          <w:b/>
          <w:sz w:val="30"/>
        </w:rPr>
      </w:pPr>
      <w:r w:rsidRPr="00DA1E5E">
        <w:rPr>
          <w:b/>
          <w:sz w:val="30"/>
        </w:rPr>
        <w:t>Об утверждении индикаторов риска нарушении обязательных требований, при осуществлении муниципального земельного контроля на территории муниципального района «Гергебильский  район»</w:t>
      </w:r>
    </w:p>
    <w:p w14:paraId="5325DE08" w14:textId="77777777" w:rsidR="008D23F2" w:rsidRPr="00DA1E5E" w:rsidRDefault="008D23F2" w:rsidP="008D23F2">
      <w:pPr>
        <w:spacing w:after="204" w:line="249" w:lineRule="auto"/>
        <w:ind w:left="289" w:right="53" w:hanging="10"/>
        <w:jc w:val="center"/>
        <w:rPr>
          <w:b/>
          <w:sz w:val="30"/>
        </w:rPr>
      </w:pPr>
      <w:bookmarkStart w:id="0" w:name="_GoBack"/>
      <w:bookmarkEnd w:id="0"/>
    </w:p>
    <w:p w14:paraId="6EC3CAB8" w14:textId="6411E2B4" w:rsidR="008D23F2" w:rsidRPr="008D23F2" w:rsidRDefault="008D23F2" w:rsidP="008D23F2">
      <w:pPr>
        <w:spacing w:after="4" w:line="255" w:lineRule="auto"/>
        <w:ind w:left="312" w:right="47" w:firstLine="720"/>
        <w:rPr>
          <w:sz w:val="28"/>
          <w:szCs w:val="28"/>
        </w:rPr>
      </w:pPr>
      <w:proofErr w:type="gramStart"/>
      <w:r w:rsidRPr="008D23F2">
        <w:rPr>
          <w:sz w:val="28"/>
          <w:szCs w:val="28"/>
        </w:rPr>
        <w:t xml:space="preserve">В соответствии со статьей 23 Федерального закона от 31 июля 2020 г. </w:t>
      </w:r>
      <w:r w:rsidRPr="008D23F2">
        <w:rPr>
          <w:noProof/>
          <w:sz w:val="28"/>
          <w:szCs w:val="28"/>
          <w:lang w:eastAsia="ru-RU"/>
        </w:rPr>
        <w:drawing>
          <wp:inline distT="0" distB="0" distL="0" distR="0" wp14:anchorId="11FDA739" wp14:editId="29E57DA5">
            <wp:extent cx="161925" cy="123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3F2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Положением о муниципальном земельном контроле на территории муниципального района  «Гергебильский район», утвержденным решением собрания депутатов МР «Гергебильский район» от 20.03.2025г„ №01-31/10, Собрание депутатов Муниципального района «Гергебильский район»</w:t>
      </w:r>
      <w:proofErr w:type="gramEnd"/>
    </w:p>
    <w:p w14:paraId="209B7278" w14:textId="77777777" w:rsidR="005959CF" w:rsidRDefault="005959CF" w:rsidP="008D23F2">
      <w:pPr>
        <w:spacing w:after="286" w:line="249" w:lineRule="auto"/>
        <w:ind w:left="289" w:right="9" w:hanging="10"/>
        <w:jc w:val="center"/>
        <w:rPr>
          <w:b/>
          <w:sz w:val="28"/>
          <w:szCs w:val="28"/>
        </w:rPr>
      </w:pPr>
    </w:p>
    <w:p w14:paraId="6844F1AC" w14:textId="0BDFB7D1" w:rsidR="008D23F2" w:rsidRPr="008D23F2" w:rsidRDefault="008D23F2" w:rsidP="008D23F2">
      <w:pPr>
        <w:spacing w:after="286" w:line="249" w:lineRule="auto"/>
        <w:ind w:left="289" w:right="9" w:hanging="10"/>
        <w:jc w:val="center"/>
        <w:rPr>
          <w:b/>
          <w:sz w:val="28"/>
          <w:szCs w:val="28"/>
        </w:rPr>
      </w:pPr>
      <w:r w:rsidRPr="008D23F2">
        <w:rPr>
          <w:b/>
          <w:sz w:val="28"/>
          <w:szCs w:val="28"/>
        </w:rPr>
        <w:t>РЕШИЛО:</w:t>
      </w:r>
    </w:p>
    <w:p w14:paraId="37F84500" w14:textId="4347CAFA" w:rsidR="008D23F2" w:rsidRPr="008D23F2" w:rsidRDefault="008D23F2" w:rsidP="008D23F2">
      <w:pPr>
        <w:numPr>
          <w:ilvl w:val="0"/>
          <w:numId w:val="3"/>
        </w:numPr>
        <w:spacing w:after="4" w:line="255" w:lineRule="auto"/>
        <w:ind w:right="47" w:firstLine="720"/>
        <w:jc w:val="both"/>
        <w:rPr>
          <w:sz w:val="28"/>
          <w:szCs w:val="28"/>
        </w:rPr>
      </w:pPr>
      <w:r w:rsidRPr="008D23F2">
        <w:rPr>
          <w:sz w:val="28"/>
          <w:szCs w:val="28"/>
        </w:rPr>
        <w:t xml:space="preserve">Утвердить индикаторы риска нарушения обязательных требований, при осуществлении муниципального земельного контроля на территории </w:t>
      </w:r>
      <w:r w:rsidRPr="008D23F2">
        <w:rPr>
          <w:noProof/>
          <w:sz w:val="28"/>
          <w:szCs w:val="28"/>
          <w:lang w:eastAsia="ru-RU"/>
        </w:rPr>
        <w:drawing>
          <wp:inline distT="0" distB="0" distL="0" distR="0" wp14:anchorId="4B04F22C" wp14:editId="309C2A96">
            <wp:extent cx="9525" cy="857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3F2">
        <w:rPr>
          <w:sz w:val="28"/>
          <w:szCs w:val="28"/>
        </w:rPr>
        <w:t>муниципального района «Гергебильский район», согласно приложению</w:t>
      </w:r>
      <w:r w:rsidR="005959CF">
        <w:rPr>
          <w:sz w:val="28"/>
          <w:szCs w:val="28"/>
        </w:rPr>
        <w:t>;</w:t>
      </w:r>
    </w:p>
    <w:p w14:paraId="4A7BF1F5" w14:textId="35309891" w:rsidR="008D23F2" w:rsidRPr="008D23F2" w:rsidRDefault="008D23F2" w:rsidP="008D23F2">
      <w:pPr>
        <w:numPr>
          <w:ilvl w:val="0"/>
          <w:numId w:val="3"/>
        </w:numPr>
        <w:spacing w:after="4" w:line="255" w:lineRule="auto"/>
        <w:ind w:right="47" w:firstLine="720"/>
        <w:jc w:val="both"/>
        <w:rPr>
          <w:sz w:val="28"/>
          <w:szCs w:val="28"/>
        </w:rPr>
      </w:pPr>
      <w:r w:rsidRPr="008D23F2">
        <w:rPr>
          <w:sz w:val="28"/>
          <w:szCs w:val="28"/>
        </w:rPr>
        <w:t>Настоящее решение опубликовать в районной газете «Вперед» и разместить на официальном сайте МР «Гергебильский район» в информационно-телек</w:t>
      </w:r>
      <w:r w:rsidR="005959CF">
        <w:rPr>
          <w:sz w:val="28"/>
          <w:szCs w:val="28"/>
        </w:rPr>
        <w:t>оммуникационной сети «Интернет»;</w:t>
      </w:r>
    </w:p>
    <w:p w14:paraId="0FFE1F7F" w14:textId="14991103" w:rsidR="008D23F2" w:rsidRPr="008D23F2" w:rsidRDefault="008D23F2" w:rsidP="008D23F2">
      <w:pPr>
        <w:pStyle w:val="a3"/>
        <w:numPr>
          <w:ilvl w:val="0"/>
          <w:numId w:val="3"/>
        </w:numPr>
        <w:ind w:left="567" w:right="154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D23F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5959CF">
        <w:rPr>
          <w:rFonts w:ascii="Times New Roman" w:hAnsi="Times New Roman" w:cs="Times New Roman"/>
          <w:sz w:val="28"/>
          <w:szCs w:val="28"/>
        </w:rPr>
        <w:t>;</w:t>
      </w:r>
    </w:p>
    <w:p w14:paraId="230AF64C" w14:textId="4F2E6A1E" w:rsidR="008D23F2" w:rsidRDefault="008D23F2" w:rsidP="008D23F2">
      <w:pPr>
        <w:pStyle w:val="a3"/>
        <w:numPr>
          <w:ilvl w:val="0"/>
          <w:numId w:val="3"/>
        </w:numPr>
        <w:ind w:left="567" w:right="154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D23F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</w:t>
      </w:r>
      <w:r w:rsidR="005959CF">
        <w:rPr>
          <w:rFonts w:ascii="Times New Roman" w:hAnsi="Times New Roman" w:cs="Times New Roman"/>
          <w:sz w:val="28"/>
          <w:szCs w:val="28"/>
        </w:rPr>
        <w:t>.</w:t>
      </w:r>
    </w:p>
    <w:p w14:paraId="4A1E1034" w14:textId="7E606A50" w:rsidR="008D23F2" w:rsidRDefault="008D23F2" w:rsidP="008D23F2">
      <w:pPr>
        <w:pStyle w:val="a3"/>
        <w:ind w:right="154"/>
        <w:jc w:val="both"/>
        <w:rPr>
          <w:rFonts w:ascii="Times New Roman" w:hAnsi="Times New Roman" w:cs="Times New Roman"/>
          <w:sz w:val="28"/>
          <w:szCs w:val="28"/>
        </w:rPr>
      </w:pPr>
    </w:p>
    <w:p w14:paraId="53DB6D95" w14:textId="2407C3F9" w:rsidR="008D23F2" w:rsidRDefault="008D23F2" w:rsidP="008D23F2">
      <w:pPr>
        <w:pStyle w:val="a3"/>
        <w:ind w:right="154"/>
        <w:jc w:val="both"/>
        <w:rPr>
          <w:rFonts w:ascii="Times New Roman" w:hAnsi="Times New Roman" w:cs="Times New Roman"/>
          <w:sz w:val="28"/>
          <w:szCs w:val="28"/>
        </w:rPr>
      </w:pPr>
    </w:p>
    <w:p w14:paraId="76978D0F" w14:textId="77777777" w:rsidR="008D23F2" w:rsidRPr="008D23F2" w:rsidRDefault="008D23F2" w:rsidP="008D23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4E72A8" w14:textId="77777777" w:rsidR="008D23F2" w:rsidRPr="003D0B0D" w:rsidRDefault="008D23F2" w:rsidP="008D23F2">
      <w:pPr>
        <w:ind w:left="426"/>
        <w:rPr>
          <w:b/>
          <w:sz w:val="28"/>
          <w:szCs w:val="28"/>
        </w:rPr>
      </w:pPr>
      <w:r w:rsidRPr="003D0B0D">
        <w:rPr>
          <w:b/>
          <w:sz w:val="28"/>
          <w:szCs w:val="28"/>
        </w:rPr>
        <w:t xml:space="preserve">Председатель Собрания депутатов </w:t>
      </w:r>
    </w:p>
    <w:p w14:paraId="64915A17" w14:textId="035532C3" w:rsidR="008D23F2" w:rsidRDefault="004B1562" w:rsidP="008D23F2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D23F2" w:rsidRPr="003D0B0D">
        <w:rPr>
          <w:b/>
          <w:sz w:val="28"/>
          <w:szCs w:val="28"/>
        </w:rPr>
        <w:t>МР «</w:t>
      </w:r>
      <w:proofErr w:type="spellStart"/>
      <w:r w:rsidR="008D23F2" w:rsidRPr="003D0B0D">
        <w:rPr>
          <w:b/>
          <w:sz w:val="28"/>
          <w:szCs w:val="28"/>
        </w:rPr>
        <w:t>Гергебильский</w:t>
      </w:r>
      <w:proofErr w:type="spellEnd"/>
      <w:r w:rsidR="008D23F2" w:rsidRPr="003D0B0D">
        <w:rPr>
          <w:b/>
          <w:sz w:val="28"/>
          <w:szCs w:val="28"/>
        </w:rPr>
        <w:t xml:space="preserve"> район»                             </w:t>
      </w:r>
      <w:r w:rsidR="008D23F2">
        <w:rPr>
          <w:b/>
          <w:sz w:val="28"/>
          <w:szCs w:val="28"/>
        </w:rPr>
        <w:t xml:space="preserve">                                           М.Б. Омаров</w:t>
      </w:r>
    </w:p>
    <w:p w14:paraId="2F0B7548" w14:textId="77777777" w:rsidR="008D23F2" w:rsidRDefault="008D23F2" w:rsidP="008D23F2">
      <w:pPr>
        <w:spacing w:after="302" w:line="259" w:lineRule="auto"/>
        <w:jc w:val="right"/>
      </w:pPr>
    </w:p>
    <w:p w14:paraId="659F164F" w14:textId="77777777" w:rsidR="008D23F2" w:rsidRDefault="008D23F2" w:rsidP="008D23F2">
      <w:pPr>
        <w:spacing w:after="302" w:line="259" w:lineRule="auto"/>
        <w:jc w:val="right"/>
      </w:pPr>
    </w:p>
    <w:p w14:paraId="1704B6E1" w14:textId="330502B7" w:rsidR="008D23F2" w:rsidRPr="008D23F2" w:rsidRDefault="008D23F2" w:rsidP="008D23F2">
      <w:pPr>
        <w:spacing w:after="302" w:line="259" w:lineRule="auto"/>
        <w:jc w:val="center"/>
        <w:rPr>
          <w:sz w:val="28"/>
          <w:szCs w:val="28"/>
        </w:rPr>
      </w:pPr>
      <w:r w:rsidRPr="008D23F2">
        <w:rPr>
          <w:sz w:val="28"/>
          <w:szCs w:val="28"/>
        </w:rPr>
        <w:lastRenderedPageBreak/>
        <w:t xml:space="preserve">                                                                                              Приложение</w:t>
      </w:r>
    </w:p>
    <w:p w14:paraId="2AE88266" w14:textId="6CA1872C" w:rsidR="008D23F2" w:rsidRPr="008D23F2" w:rsidRDefault="008D23F2" w:rsidP="008D23F2">
      <w:pPr>
        <w:spacing w:after="519" w:line="243" w:lineRule="auto"/>
        <w:ind w:left="5298" w:right="615"/>
        <w:jc w:val="right"/>
        <w:rPr>
          <w:sz w:val="28"/>
          <w:szCs w:val="28"/>
        </w:rPr>
      </w:pPr>
      <w:r w:rsidRPr="008D23F2">
        <w:rPr>
          <w:sz w:val="28"/>
          <w:szCs w:val="28"/>
        </w:rPr>
        <w:t>Утвержден решением Собрания депутатов МР «</w:t>
      </w:r>
      <w:proofErr w:type="spellStart"/>
      <w:r w:rsidRPr="008D23F2">
        <w:rPr>
          <w:sz w:val="28"/>
          <w:szCs w:val="28"/>
        </w:rPr>
        <w:t>Г</w:t>
      </w:r>
      <w:r w:rsidR="00F94112">
        <w:rPr>
          <w:sz w:val="28"/>
          <w:szCs w:val="28"/>
        </w:rPr>
        <w:t>ергебильский</w:t>
      </w:r>
      <w:proofErr w:type="spellEnd"/>
      <w:r w:rsidR="00F94112">
        <w:rPr>
          <w:sz w:val="28"/>
          <w:szCs w:val="28"/>
        </w:rPr>
        <w:t xml:space="preserve"> район» от 17.06.2025г. № 01-31/20</w:t>
      </w:r>
    </w:p>
    <w:p w14:paraId="34DF406C" w14:textId="77777777" w:rsidR="008D23F2" w:rsidRPr="008D23F2" w:rsidRDefault="008D23F2" w:rsidP="008D23F2">
      <w:pPr>
        <w:pStyle w:val="1"/>
        <w:spacing w:after="352"/>
        <w:ind w:left="371" w:firstLine="0"/>
        <w:jc w:val="center"/>
        <w:rPr>
          <w:b/>
          <w:sz w:val="28"/>
          <w:szCs w:val="28"/>
          <w:lang w:val="ru-RU"/>
        </w:rPr>
      </w:pPr>
      <w:r w:rsidRPr="008D23F2">
        <w:rPr>
          <w:b/>
          <w:sz w:val="28"/>
          <w:szCs w:val="28"/>
          <w:lang w:val="ru-RU"/>
        </w:rPr>
        <w:t>ИНДИКАТОРЫ РИСКА НАРУШЕНИЯ ОБЯЗАТЕЛЬНЫХ ТРЕБОВАНИЙ, ПРИ ОСУЩЕСТВЛЕНИИ МУНИЦИПАЛЬНОГО ЗЕМЕЛЬНОГО КОНТРОЛЯ НА ТЕРРИТОРИИ МУНИЦИПАЛЬНОГО РАЙОНА «ГЕРГЕБИЛЬСКИЙ  РАЙОН»</w:t>
      </w:r>
    </w:p>
    <w:p w14:paraId="73B74001" w14:textId="77777777" w:rsidR="008D23F2" w:rsidRPr="008D23F2" w:rsidRDefault="008D23F2" w:rsidP="008D23F2">
      <w:pPr>
        <w:numPr>
          <w:ilvl w:val="0"/>
          <w:numId w:val="4"/>
        </w:numPr>
        <w:spacing w:after="5" w:line="242" w:lineRule="auto"/>
        <w:ind w:right="66" w:firstLine="432"/>
        <w:jc w:val="both"/>
        <w:rPr>
          <w:sz w:val="28"/>
          <w:szCs w:val="28"/>
        </w:rPr>
      </w:pPr>
      <w:r w:rsidRPr="008D23F2">
        <w:rPr>
          <w:sz w:val="28"/>
          <w:szCs w:val="28"/>
        </w:rPr>
        <w:t>Несоответствие площади используемого земельного участка, определенной в результате проведения мероприятий по контролю без взаимодействия с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14:paraId="581F5F39" w14:textId="77777777" w:rsidR="008D23F2" w:rsidRPr="008D23F2" w:rsidRDefault="008D23F2" w:rsidP="008D23F2">
      <w:pPr>
        <w:numPr>
          <w:ilvl w:val="0"/>
          <w:numId w:val="4"/>
        </w:numPr>
        <w:spacing w:after="5" w:line="242" w:lineRule="auto"/>
        <w:ind w:right="66" w:firstLine="432"/>
        <w:jc w:val="both"/>
        <w:rPr>
          <w:sz w:val="28"/>
          <w:szCs w:val="28"/>
        </w:rPr>
      </w:pPr>
      <w:r w:rsidRPr="008D23F2">
        <w:rPr>
          <w:sz w:val="28"/>
          <w:szCs w:val="28"/>
        </w:rPr>
        <w:t>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с правообладателем земельного участка, относительно местоположения границы земельного участка, содержащегося в Едином государственном реестре недвижимости на величину, превышающую значение точности определения координат характерных точек границ земельных участков, установленное приказом Минэкономразвития России от 1 марта 2016 г. № 90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помещения.</w:t>
      </w:r>
    </w:p>
    <w:p w14:paraId="4694E719" w14:textId="77777777" w:rsidR="008D23F2" w:rsidRPr="008D23F2" w:rsidRDefault="008D23F2" w:rsidP="008D23F2">
      <w:pPr>
        <w:numPr>
          <w:ilvl w:val="0"/>
          <w:numId w:val="4"/>
        </w:numPr>
        <w:spacing w:after="53" w:line="242" w:lineRule="auto"/>
        <w:ind w:right="66" w:firstLine="432"/>
        <w:jc w:val="both"/>
        <w:rPr>
          <w:sz w:val="28"/>
          <w:szCs w:val="28"/>
        </w:rPr>
      </w:pPr>
      <w:r w:rsidRPr="008D23F2">
        <w:rPr>
          <w:sz w:val="28"/>
          <w:szCs w:val="28"/>
        </w:rPr>
        <w:t>Несоответствие использования земельного участка, выявленное в результате проведения мероприятий по контролю без взаимодействия с правообладателем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14:paraId="799FD0B6" w14:textId="77777777" w:rsidR="008D23F2" w:rsidRDefault="008D23F2" w:rsidP="007473A8">
      <w:pPr>
        <w:numPr>
          <w:ilvl w:val="0"/>
          <w:numId w:val="4"/>
        </w:numPr>
        <w:spacing w:after="5" w:line="242" w:lineRule="auto"/>
        <w:ind w:right="66" w:firstLine="432"/>
        <w:jc w:val="both"/>
        <w:rPr>
          <w:sz w:val="28"/>
          <w:szCs w:val="28"/>
        </w:rPr>
      </w:pPr>
      <w:r w:rsidRPr="008D23F2">
        <w:rPr>
          <w:sz w:val="28"/>
          <w:szCs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правообладателем земельного участка,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14:paraId="177E3A74" w14:textId="07DB0D74" w:rsidR="008D23F2" w:rsidRPr="008D23F2" w:rsidRDefault="008D23F2" w:rsidP="007473A8">
      <w:pPr>
        <w:numPr>
          <w:ilvl w:val="0"/>
          <w:numId w:val="4"/>
        </w:numPr>
        <w:spacing w:after="5" w:line="242" w:lineRule="auto"/>
        <w:ind w:right="66" w:firstLine="432"/>
        <w:jc w:val="both"/>
        <w:rPr>
          <w:sz w:val="28"/>
          <w:szCs w:val="28"/>
        </w:rPr>
      </w:pPr>
      <w:r w:rsidRPr="008D23F2">
        <w:rPr>
          <w:sz w:val="28"/>
          <w:szCs w:val="28"/>
        </w:rPr>
        <w:t>Наличие на земельном участке специализированной техники, используемой для снятия и (или) перемещения плодородного слоя почвы,</w:t>
      </w:r>
      <w:r w:rsidRPr="008D23F2">
        <w:rPr>
          <w:noProof/>
          <w:sz w:val="28"/>
          <w:szCs w:val="28"/>
          <w:lang w:eastAsia="ru-RU"/>
        </w:rPr>
        <w:drawing>
          <wp:inline distT="0" distB="0" distL="0" distR="0" wp14:anchorId="17CB723B" wp14:editId="56AD5623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5401E" w14:textId="77777777" w:rsidR="008D23F2" w:rsidRPr="008D23F2" w:rsidRDefault="008D23F2" w:rsidP="008D23F2">
      <w:pPr>
        <w:numPr>
          <w:ilvl w:val="0"/>
          <w:numId w:val="4"/>
        </w:numPr>
        <w:spacing w:after="5" w:line="242" w:lineRule="auto"/>
        <w:ind w:right="66" w:firstLine="432"/>
        <w:jc w:val="both"/>
        <w:rPr>
          <w:sz w:val="28"/>
          <w:szCs w:val="28"/>
        </w:rPr>
      </w:pPr>
      <w:r w:rsidRPr="008D23F2">
        <w:rPr>
          <w:sz w:val="28"/>
          <w:szCs w:val="28"/>
        </w:rPr>
        <w:t xml:space="preserve">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</w:t>
      </w:r>
      <w:r w:rsidRPr="008D23F2">
        <w:rPr>
          <w:sz w:val="28"/>
          <w:szCs w:val="28"/>
        </w:rPr>
        <w:lastRenderedPageBreak/>
        <w:t>уплотнение, загрязнение химическими веществами, з том числе радиоактивными, иными веществами и микроорганизмами, загрязнение отходами производства и потребления).</w:t>
      </w:r>
    </w:p>
    <w:p w14:paraId="58C99FC8" w14:textId="64F2C585" w:rsidR="008D23F2" w:rsidRPr="008D23F2" w:rsidRDefault="008D23F2" w:rsidP="008D23F2">
      <w:pPr>
        <w:ind w:left="4" w:right="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23F2">
        <w:rPr>
          <w:sz w:val="28"/>
          <w:szCs w:val="28"/>
        </w:rPr>
        <w:t>7. 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деятельности,</w:t>
      </w:r>
    </w:p>
    <w:p w14:paraId="4A03902D" w14:textId="680C3636" w:rsidR="008D23F2" w:rsidRPr="008D23F2" w:rsidRDefault="008D23F2" w:rsidP="008D23F2">
      <w:pPr>
        <w:ind w:left="4" w:right="6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23F2">
        <w:rPr>
          <w:sz w:val="28"/>
          <w:szCs w:val="28"/>
        </w:rPr>
        <w:t xml:space="preserve">8. 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д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</w:t>
      </w:r>
      <w:r w:rsidRPr="008D23F2">
        <w:rPr>
          <w:noProof/>
          <w:sz w:val="28"/>
          <w:szCs w:val="28"/>
          <w:lang w:eastAsia="ru-RU"/>
        </w:rPr>
        <w:drawing>
          <wp:inline distT="0" distB="0" distL="0" distR="0" wp14:anchorId="72E9F8A7" wp14:editId="7F2BB92E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3F2">
        <w:rPr>
          <w:sz w:val="28"/>
          <w:szCs w:val="28"/>
        </w:rPr>
        <w:t xml:space="preserve">насаждений (спиливание, складирование или сжигание </w:t>
      </w:r>
      <w:proofErr w:type="spellStart"/>
      <w:r w:rsidRPr="008D23F2">
        <w:rPr>
          <w:sz w:val="28"/>
          <w:szCs w:val="28"/>
        </w:rPr>
        <w:t>древеснокустарниковой</w:t>
      </w:r>
      <w:proofErr w:type="spellEnd"/>
      <w:r w:rsidRPr="008D23F2">
        <w:rPr>
          <w:sz w:val="28"/>
          <w:szCs w:val="28"/>
        </w:rPr>
        <w:t xml:space="preserve"> растительности, составляющей защитные лесополосы)</w:t>
      </w:r>
    </w:p>
    <w:p w14:paraId="0D0B3886" w14:textId="77777777" w:rsidR="00C5644C" w:rsidRPr="008D23F2" w:rsidRDefault="00C5644C" w:rsidP="00C5644C">
      <w:pPr>
        <w:ind w:firstLine="360"/>
        <w:jc w:val="both"/>
        <w:rPr>
          <w:sz w:val="28"/>
          <w:szCs w:val="28"/>
        </w:rPr>
      </w:pPr>
    </w:p>
    <w:p w14:paraId="7FC31A36" w14:textId="77777777" w:rsidR="00C5644C" w:rsidRPr="008D23F2" w:rsidRDefault="00C5644C" w:rsidP="00C5644C">
      <w:pPr>
        <w:rPr>
          <w:sz w:val="28"/>
          <w:szCs w:val="28"/>
        </w:rPr>
      </w:pPr>
    </w:p>
    <w:p w14:paraId="5051151D" w14:textId="4D413FCC" w:rsidR="00C5644C" w:rsidRPr="008D23F2" w:rsidRDefault="00C5644C" w:rsidP="00C5644C">
      <w:pPr>
        <w:rPr>
          <w:b/>
          <w:sz w:val="28"/>
          <w:szCs w:val="28"/>
        </w:rPr>
      </w:pPr>
    </w:p>
    <w:p w14:paraId="51A3C716" w14:textId="77777777" w:rsidR="00C5644C" w:rsidRPr="008D23F2" w:rsidRDefault="00C5644C" w:rsidP="00C5644C">
      <w:pPr>
        <w:tabs>
          <w:tab w:val="left" w:pos="5597"/>
        </w:tabs>
        <w:rPr>
          <w:b/>
          <w:sz w:val="28"/>
          <w:szCs w:val="28"/>
        </w:rPr>
      </w:pPr>
    </w:p>
    <w:p w14:paraId="131970C2" w14:textId="77777777" w:rsidR="00C5644C" w:rsidRPr="008D23F2" w:rsidRDefault="00C5644C" w:rsidP="00C5644C">
      <w:pPr>
        <w:tabs>
          <w:tab w:val="left" w:pos="5597"/>
        </w:tabs>
        <w:rPr>
          <w:sz w:val="28"/>
          <w:szCs w:val="28"/>
        </w:rPr>
      </w:pPr>
      <w:r w:rsidRPr="008D23F2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1077C722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  <w:r w:rsidRPr="008D23F2">
        <w:rPr>
          <w:sz w:val="28"/>
          <w:szCs w:val="28"/>
        </w:rPr>
        <w:t xml:space="preserve">                                                                                                  </w:t>
      </w:r>
    </w:p>
    <w:p w14:paraId="6CFD2F2E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4807F19E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73CD289D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209C16A8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1F1DFC08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5C5A7FF1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16EB33DE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58319407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0108BC38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4729647E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4D74DCBD" w14:textId="77777777" w:rsidR="00C5644C" w:rsidRPr="008D23F2" w:rsidRDefault="00C5644C" w:rsidP="00C5644C">
      <w:pPr>
        <w:tabs>
          <w:tab w:val="left" w:pos="5597"/>
        </w:tabs>
        <w:jc w:val="right"/>
        <w:rPr>
          <w:sz w:val="28"/>
          <w:szCs w:val="28"/>
        </w:rPr>
      </w:pPr>
    </w:p>
    <w:p w14:paraId="02843690" w14:textId="77777777" w:rsidR="00C5644C" w:rsidRDefault="00C5644C" w:rsidP="00C5644C">
      <w:pPr>
        <w:tabs>
          <w:tab w:val="left" w:pos="5597"/>
        </w:tabs>
        <w:jc w:val="right"/>
      </w:pPr>
    </w:p>
    <w:sectPr w:rsidR="00C5644C" w:rsidSect="0087110E">
      <w:pgSz w:w="11906" w:h="16838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994"/>
    <w:multiLevelType w:val="hybridMultilevel"/>
    <w:tmpl w:val="A51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72ACF"/>
    <w:multiLevelType w:val="hybridMultilevel"/>
    <w:tmpl w:val="1C761AE6"/>
    <w:lvl w:ilvl="0" w:tplc="488E01F4">
      <w:start w:val="1"/>
      <w:numFmt w:val="decimal"/>
      <w:lvlText w:val="%1.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2AD2FC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06C0D2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85B80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267098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64750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C0AA7C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848B36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567FD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6B462A"/>
    <w:multiLevelType w:val="hybridMultilevel"/>
    <w:tmpl w:val="04A0A6B8"/>
    <w:lvl w:ilvl="0" w:tplc="6E02B71A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72616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ACBCF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3ABE8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4C332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2E226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7E71A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40245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2AF6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CA3938"/>
    <w:multiLevelType w:val="hybridMultilevel"/>
    <w:tmpl w:val="A2AA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B3"/>
    <w:rsid w:val="0006218B"/>
    <w:rsid w:val="00067807"/>
    <w:rsid w:val="000D66B3"/>
    <w:rsid w:val="00150FEC"/>
    <w:rsid w:val="001860A5"/>
    <w:rsid w:val="00203323"/>
    <w:rsid w:val="002D0050"/>
    <w:rsid w:val="002E40F5"/>
    <w:rsid w:val="00333C24"/>
    <w:rsid w:val="003566D5"/>
    <w:rsid w:val="00497EAE"/>
    <w:rsid w:val="004B1562"/>
    <w:rsid w:val="004C36F1"/>
    <w:rsid w:val="004D01DE"/>
    <w:rsid w:val="004F33D0"/>
    <w:rsid w:val="004F752E"/>
    <w:rsid w:val="00566161"/>
    <w:rsid w:val="005959CF"/>
    <w:rsid w:val="00604D63"/>
    <w:rsid w:val="00616BEF"/>
    <w:rsid w:val="0061715D"/>
    <w:rsid w:val="006D7C02"/>
    <w:rsid w:val="007D65B3"/>
    <w:rsid w:val="0087110E"/>
    <w:rsid w:val="008D23F2"/>
    <w:rsid w:val="00986E5B"/>
    <w:rsid w:val="009927CF"/>
    <w:rsid w:val="009E3AD9"/>
    <w:rsid w:val="00A073AE"/>
    <w:rsid w:val="00A80FB3"/>
    <w:rsid w:val="00A832DB"/>
    <w:rsid w:val="00B019CE"/>
    <w:rsid w:val="00B54ACE"/>
    <w:rsid w:val="00BC1F4B"/>
    <w:rsid w:val="00BE151B"/>
    <w:rsid w:val="00C5644C"/>
    <w:rsid w:val="00C738DC"/>
    <w:rsid w:val="00C75242"/>
    <w:rsid w:val="00CC04E9"/>
    <w:rsid w:val="00CE69F4"/>
    <w:rsid w:val="00D06A5E"/>
    <w:rsid w:val="00D173B9"/>
    <w:rsid w:val="00DA1E5E"/>
    <w:rsid w:val="00E01B6B"/>
    <w:rsid w:val="00E02C68"/>
    <w:rsid w:val="00ED2F2E"/>
    <w:rsid w:val="00EF6D8B"/>
    <w:rsid w:val="00F47B29"/>
    <w:rsid w:val="00F71AE3"/>
    <w:rsid w:val="00F94112"/>
    <w:rsid w:val="00F96774"/>
    <w:rsid w:val="00FC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2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8D23F2"/>
    <w:pPr>
      <w:keepNext/>
      <w:keepLines/>
      <w:spacing w:after="35" w:line="227" w:lineRule="auto"/>
      <w:ind w:left="449" w:hanging="63"/>
      <w:jc w:val="both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A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3"/>
    <w:rPr>
      <w:rFonts w:ascii="Tahoma" w:eastAsia="SimSun" w:hAnsi="Tahoma" w:cs="Tahoma"/>
      <w:sz w:val="16"/>
      <w:szCs w:val="16"/>
      <w:lang w:eastAsia="zh-CN"/>
    </w:rPr>
  </w:style>
  <w:style w:type="character" w:styleId="a6">
    <w:name w:val="Hyperlink"/>
    <w:uiPriority w:val="99"/>
    <w:unhideWhenUsed/>
    <w:rsid w:val="00F71A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B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C564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23F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8D23F2"/>
    <w:pPr>
      <w:keepNext/>
      <w:keepLines/>
      <w:spacing w:after="35" w:line="227" w:lineRule="auto"/>
      <w:ind w:left="449" w:hanging="63"/>
      <w:jc w:val="both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6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1A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3"/>
    <w:rPr>
      <w:rFonts w:ascii="Tahoma" w:eastAsia="SimSun" w:hAnsi="Tahoma" w:cs="Tahoma"/>
      <w:sz w:val="16"/>
      <w:szCs w:val="16"/>
      <w:lang w:eastAsia="zh-CN"/>
    </w:rPr>
  </w:style>
  <w:style w:type="character" w:styleId="a6">
    <w:name w:val="Hyperlink"/>
    <w:uiPriority w:val="99"/>
    <w:unhideWhenUsed/>
    <w:rsid w:val="00F71AE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B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C564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23F2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RobotComp.ru</cp:lastModifiedBy>
  <cp:revision>9</cp:revision>
  <cp:lastPrinted>2025-06-16T07:39:00Z</cp:lastPrinted>
  <dcterms:created xsi:type="dcterms:W3CDTF">2025-06-17T11:58:00Z</dcterms:created>
  <dcterms:modified xsi:type="dcterms:W3CDTF">2025-06-18T06:59:00Z</dcterms:modified>
</cp:coreProperties>
</file>